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0"/>
      </w:tblGrid>
      <w:tr w:rsidR="00642E97" w:rsidRPr="00642E97" w14:paraId="427098B2" w14:textId="77777777" w:rsidTr="00642E9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F53F1D1" w14:textId="77777777" w:rsidR="00642E97" w:rsidRPr="00642E97" w:rsidRDefault="00642E97" w:rsidP="00642E97">
            <w:pPr>
              <w:spacing w:after="0" w:line="240" w:lineRule="auto"/>
              <w:jc w:val="right"/>
              <w:rPr>
                <w:rFonts w:ascii="Arial" w:eastAsia="Times New Roman" w:hAnsi="Arial" w:cs="Arial"/>
                <w:caps/>
                <w:color w:val="000000"/>
                <w:sz w:val="54"/>
                <w:szCs w:val="54"/>
                <w:lang w:eastAsia="fr-CA"/>
              </w:rPr>
            </w:pPr>
            <w:r w:rsidRPr="00642E97">
              <w:rPr>
                <w:rFonts w:ascii="Arial" w:eastAsia="Times New Roman" w:hAnsi="Arial" w:cs="Arial"/>
                <w:caps/>
                <w:color w:val="000000"/>
                <w:sz w:val="54"/>
                <w:szCs w:val="54"/>
                <w:lang w:eastAsia="fr-CA"/>
              </w:rPr>
              <w:t>COMMUNIQUÉ</w:t>
            </w:r>
          </w:p>
        </w:tc>
      </w:tr>
      <w:tr w:rsidR="00642E97" w:rsidRPr="00642E97" w14:paraId="09414990" w14:textId="77777777" w:rsidTr="00642E97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49EC039" w14:textId="77777777" w:rsidR="00642E97" w:rsidRPr="00642E97" w:rsidRDefault="00642E97" w:rsidP="00642E97">
            <w:pPr>
              <w:spacing w:after="0" w:line="240" w:lineRule="auto"/>
              <w:jc w:val="right"/>
              <w:rPr>
                <w:rFonts w:ascii="Arial" w:eastAsia="Times New Roman" w:hAnsi="Arial" w:cs="Arial"/>
                <w:caps/>
                <w:color w:val="000000"/>
                <w:sz w:val="54"/>
                <w:szCs w:val="54"/>
                <w:lang w:eastAsia="fr-CA"/>
              </w:rPr>
            </w:pPr>
          </w:p>
        </w:tc>
      </w:tr>
      <w:tr w:rsidR="00642E97" w:rsidRPr="00642E97" w14:paraId="4B17BA24" w14:textId="77777777" w:rsidTr="00642E9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45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40"/>
            </w:tblGrid>
            <w:tr w:rsidR="00642E97" w:rsidRPr="00642E97" w14:paraId="00AA002A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8AFE0B9" w14:textId="0065E3A8" w:rsidR="00642E97" w:rsidRPr="00642E97" w:rsidRDefault="005D419C" w:rsidP="00642E9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aps/>
                      <w:color w:val="000000"/>
                      <w:sz w:val="24"/>
                      <w:szCs w:val="24"/>
                      <w:lang w:eastAsia="fr-CA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aps/>
                      <w:color w:val="000000"/>
                      <w:sz w:val="24"/>
                      <w:szCs w:val="24"/>
                      <w:lang w:eastAsia="fr-CA"/>
                    </w:rPr>
                    <w:t xml:space="preserve">collaboration Ville de Gatineau – PESO pour la </w:t>
                  </w:r>
                  <w:r w:rsidR="00301841">
                    <w:rPr>
                      <w:rFonts w:ascii="Arial" w:eastAsia="Times New Roman" w:hAnsi="Arial" w:cs="Arial"/>
                      <w:b/>
                      <w:bCs/>
                      <w:caps/>
                      <w:color w:val="000000"/>
                      <w:sz w:val="24"/>
                      <w:szCs w:val="24"/>
                      <w:lang w:eastAsia="fr-CA"/>
                    </w:rPr>
                    <w:t xml:space="preserve">CRÉATION D’UN POSTE D’AGENT DE LIAISON AUTOCHTONE </w:t>
                  </w:r>
                  <w:r>
                    <w:rPr>
                      <w:rFonts w:ascii="Arial" w:eastAsia="Times New Roman" w:hAnsi="Arial" w:cs="Arial"/>
                      <w:b/>
                      <w:bCs/>
                      <w:caps/>
                      <w:color w:val="000000"/>
                      <w:sz w:val="24"/>
                      <w:szCs w:val="24"/>
                      <w:lang w:eastAsia="fr-CA"/>
                    </w:rPr>
                    <w:t>régional</w:t>
                  </w:r>
                </w:p>
                <w:p w14:paraId="7E4CD0A7" w14:textId="77777777" w:rsidR="00642E97" w:rsidRPr="00642E97" w:rsidRDefault="00642E97" w:rsidP="00642E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fr-CA"/>
                    </w:rPr>
                  </w:pPr>
                </w:p>
                <w:p w14:paraId="63ED8064" w14:textId="7AB010A2" w:rsidR="00147ACC" w:rsidRDefault="00301841" w:rsidP="00301841">
                  <w:pPr>
                    <w:spacing w:after="0" w:line="240" w:lineRule="auto"/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  <w:lang w:eastAsia="fr-CA"/>
                    </w:rPr>
                    <w:t>Gatineau, le 23</w:t>
                  </w:r>
                  <w:r w:rsidR="00642E97" w:rsidRPr="00642E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  <w:lang w:eastAsia="fr-CA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  <w:lang w:eastAsia="fr-CA"/>
                    </w:rPr>
                    <w:t>mars</w:t>
                  </w:r>
                  <w:r w:rsidR="00642E97" w:rsidRPr="00642E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  <w:lang w:eastAsia="fr-CA"/>
                    </w:rPr>
                    <w:t xml:space="preserve"> 202</w:t>
                  </w:r>
                  <w:r w:rsidR="00642E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  <w:lang w:eastAsia="fr-CA"/>
                    </w:rPr>
                    <w:t>2</w:t>
                  </w:r>
                  <w:r w:rsidR="00642E97" w:rsidRPr="00642E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  <w:lang w:eastAsia="fr-CA"/>
                    </w:rPr>
                    <w:t>.</w:t>
                  </w:r>
                  <w:r w:rsidR="00642E97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fr-CA"/>
                    </w:rPr>
                    <w:t xml:space="preserve"> – </w:t>
                  </w:r>
                  <w:r w:rsidRPr="00301841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fr-CA"/>
                    </w:rPr>
                    <w:t xml:space="preserve">Dans un esprit d’amitié véritable et de collaboration avec la nation algonquine, la Ville de Gatineau </w:t>
                  </w:r>
                  <w:r w:rsidR="005D419C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fr-CA"/>
                    </w:rPr>
                    <w:t xml:space="preserve">et les trois établissements partenaires du Pôle en enseignement supérieur de l’Outaouais (PESO) </w:t>
                  </w:r>
                  <w:r w:rsidR="00147ACC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fr-CA"/>
                    </w:rPr>
                    <w:t>annonce</w:t>
                  </w:r>
                  <w:r w:rsidR="005D419C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fr-CA"/>
                    </w:rPr>
                    <w:t>nt</w:t>
                  </w:r>
                  <w:r w:rsidR="00147ACC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fr-CA"/>
                    </w:rPr>
                    <w:t xml:space="preserve"> la </w:t>
                  </w:r>
                  <w:r w:rsidRPr="00301841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fr-CA"/>
                    </w:rPr>
                    <w:t>cré</w:t>
                  </w:r>
                  <w:r w:rsidR="00147ACC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fr-CA"/>
                    </w:rPr>
                    <w:t>ation d’</w:t>
                  </w:r>
                  <w:r w:rsidRPr="00301841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fr-CA"/>
                    </w:rPr>
                    <w:t xml:space="preserve">un poste d’agent de liaison autochtone </w:t>
                  </w:r>
                  <w:r w:rsidR="005D419C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fr-CA"/>
                    </w:rPr>
                    <w:t>régional</w:t>
                  </w:r>
                  <w:r w:rsidRPr="00301841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fr-CA"/>
                    </w:rPr>
                    <w:t>.</w:t>
                  </w:r>
                  <w:r w:rsidR="00147ACC">
                    <w:t xml:space="preserve"> </w:t>
                  </w:r>
                </w:p>
                <w:p w14:paraId="2963618F" w14:textId="77777777" w:rsidR="00147ACC" w:rsidRDefault="00147ACC" w:rsidP="00301841">
                  <w:pPr>
                    <w:spacing w:after="0" w:line="240" w:lineRule="auto"/>
                  </w:pPr>
                </w:p>
                <w:p w14:paraId="64A26DA2" w14:textId="77777777" w:rsidR="00301841" w:rsidRDefault="00147ACC" w:rsidP="0030184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fr-CA"/>
                    </w:rPr>
                  </w:pPr>
                  <w:r w:rsidRPr="00147ACC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fr-CA"/>
                    </w:rPr>
                    <w:t>Le processus de dotation sera fait en consultation avec le Conseil de bande de Kitigan Zibi et les détails seront communiqués au cours des prochaines semaines.</w:t>
                  </w:r>
                </w:p>
                <w:p w14:paraId="4654D304" w14:textId="77777777" w:rsidR="00B175DB" w:rsidRDefault="00B175DB" w:rsidP="0030184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fr-CA"/>
                    </w:rPr>
                  </w:pPr>
                </w:p>
                <w:p w14:paraId="3F302143" w14:textId="2ACCF332" w:rsidR="00B175DB" w:rsidRPr="00301841" w:rsidRDefault="00B175DB" w:rsidP="0030184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fr-CA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fr-CA"/>
                    </w:rPr>
                    <w:t xml:space="preserve">Cette annonce s’inscrit dans les engagements de la Ville de Gatineau en conclusion du </w:t>
                  </w:r>
                  <w:r w:rsidRPr="00B175DB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fr-CA"/>
                    </w:rPr>
                    <w:t>3e Sommet des Premières Nations et des municipalités sur la réconciliation</w:t>
                  </w:r>
                  <w: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fr-CA"/>
                    </w:rPr>
                    <w:t xml:space="preserve">, dans le cadre du </w:t>
                  </w:r>
                  <w:r w:rsidRPr="00B175DB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fr-CA"/>
                    </w:rPr>
                    <w:t>Grand rassemblement 2023</w:t>
                  </w:r>
                  <w: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fr-CA"/>
                    </w:rPr>
                    <w:t xml:space="preserve"> tenu à Gatineau</w:t>
                  </w:r>
                  <w:r w:rsidR="002A79FA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fr-CA"/>
                    </w:rPr>
                    <w:t xml:space="preserve">, ainsi que </w:t>
                  </w:r>
                  <w:r w:rsidR="00947FFA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fr-CA"/>
                    </w:rPr>
                    <w:t>dans la démarche d’autochtonisation</w:t>
                  </w:r>
                  <w:r w:rsidR="002A79FA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fr-CA"/>
                    </w:rPr>
                    <w:t xml:space="preserve"> des établissements d’enseignement supérieur de l’Outaouais</w:t>
                  </w:r>
                  <w: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fr-CA"/>
                    </w:rPr>
                    <w:t>.</w:t>
                  </w:r>
                </w:p>
                <w:p w14:paraId="3478D4E4" w14:textId="77777777" w:rsidR="00301841" w:rsidRPr="00301841" w:rsidRDefault="00301841" w:rsidP="0030184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fr-CA"/>
                    </w:rPr>
                  </w:pPr>
                </w:p>
                <w:p w14:paraId="1A8C0898" w14:textId="77777777" w:rsidR="00642E97" w:rsidRPr="00642E97" w:rsidRDefault="00642E97" w:rsidP="00642E97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fr-CA"/>
                    </w:rPr>
                  </w:pPr>
                  <w:r w:rsidRPr="00642E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  <w:lang w:eastAsia="fr-CA"/>
                    </w:rPr>
                    <w:t>Faits en bref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4"/>
                    <w:gridCol w:w="3524"/>
                    <w:gridCol w:w="4362"/>
                  </w:tblGrid>
                  <w:tr w:rsidR="00642E97" w:rsidRPr="00642E97" w14:paraId="6753AEBC" w14:textId="77777777" w:rsidTr="000F6A4E">
                    <w:trPr>
                      <w:tblCellSpacing w:w="0" w:type="dxa"/>
                    </w:trPr>
                    <w:tc>
                      <w:tcPr>
                        <w:tcW w:w="328" w:type="pct"/>
                        <w:hideMark/>
                      </w:tcPr>
                      <w:p w14:paraId="093279ED" w14:textId="77777777" w:rsidR="00642E97" w:rsidRPr="00642E97" w:rsidRDefault="00642E97" w:rsidP="00642E9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</w:pPr>
                        <w:r w:rsidRPr="00642E97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  <w:t>●</w:t>
                        </w:r>
                      </w:p>
                    </w:tc>
                    <w:tc>
                      <w:tcPr>
                        <w:tcW w:w="4672" w:type="pct"/>
                        <w:gridSpan w:val="2"/>
                        <w:hideMark/>
                      </w:tcPr>
                      <w:p w14:paraId="707C303E" w14:textId="4F7B121C" w:rsidR="003A54FF" w:rsidRPr="00642E97" w:rsidRDefault="000836B8" w:rsidP="000836B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  <w:t xml:space="preserve">La création de ce nouveau poste vise </w:t>
                        </w:r>
                        <w:r w:rsidR="00301841" w:rsidRPr="00301841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  <w:t>à maintenir des relations constructives, basées sur la confiance mutuelle entre la communauté de la Première Nation algonquine Anishinabeg de Kitigan Zibi, les organisations autochtones</w:t>
                        </w:r>
                        <w:r w:rsidR="005D419C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  <w:t>,</w:t>
                        </w:r>
                        <w:r w:rsidR="00301841" w:rsidRPr="00301841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  <w:t xml:space="preserve"> la Ville de Gatineau</w:t>
                        </w:r>
                        <w:r w:rsidR="005D419C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  <w:t>, l’Université du Québec en Outaouais, le Cégep de l’Outaouais et le Cégep Heritage College</w:t>
                        </w:r>
                        <w:r w:rsidR="00301841" w:rsidRPr="00301841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  <w:t xml:space="preserve">. </w:t>
                        </w:r>
                      </w:p>
                    </w:tc>
                  </w:tr>
                  <w:tr w:rsidR="00F217DC" w:rsidRPr="00642E97" w14:paraId="42937AAE" w14:textId="77777777" w:rsidTr="000F6A4E">
                    <w:trPr>
                      <w:tblCellSpacing w:w="0" w:type="dxa"/>
                    </w:trPr>
                    <w:tc>
                      <w:tcPr>
                        <w:tcW w:w="328" w:type="pct"/>
                        <w:hideMark/>
                      </w:tcPr>
                      <w:p w14:paraId="10635803" w14:textId="77777777" w:rsidR="00F217DC" w:rsidRPr="00642E97" w:rsidRDefault="00F217DC" w:rsidP="00F217D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</w:pPr>
                        <w:r w:rsidRPr="00642E97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  <w:t>●</w:t>
                        </w:r>
                      </w:p>
                    </w:tc>
                    <w:tc>
                      <w:tcPr>
                        <w:tcW w:w="4672" w:type="pct"/>
                        <w:gridSpan w:val="2"/>
                        <w:hideMark/>
                      </w:tcPr>
                      <w:p w14:paraId="4E342C47" w14:textId="1ED4436B" w:rsidR="00F217DC" w:rsidRPr="00642E97" w:rsidRDefault="000836B8" w:rsidP="00FF6B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  <w:t xml:space="preserve">Le poste relèvera </w:t>
                        </w:r>
                        <w:r w:rsidRPr="00301841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  <w:t>de la Direction générale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  <w:t xml:space="preserve"> de la Ville de Gatineau. Le ou la titulaire </w:t>
                        </w:r>
                        <w:r w:rsidRPr="00301841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  <w:t>soutiendra et accompagnera les gestionnaires et les intervenants</w:t>
                        </w:r>
                        <w:r w:rsidR="002A79FA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  <w:t xml:space="preserve"> de la Ville ainsi que les établissements partenaires du PESO</w:t>
                        </w:r>
                        <w:r w:rsidRPr="00301841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  <w:t xml:space="preserve"> dans le développement et la coordination de dossiers en lien avec la communauté de Kitigan Zibi et favorisera le transfert d’information, de connaissance et d’expertise.</w:t>
                        </w:r>
                      </w:p>
                    </w:tc>
                  </w:tr>
                  <w:tr w:rsidR="00F217DC" w:rsidRPr="00642E97" w14:paraId="60C78E9A" w14:textId="77777777" w:rsidTr="000F6A4E">
                    <w:trPr>
                      <w:tblCellSpacing w:w="0" w:type="dxa"/>
                    </w:trPr>
                    <w:tc>
                      <w:tcPr>
                        <w:tcW w:w="328" w:type="pct"/>
                        <w:hideMark/>
                      </w:tcPr>
                      <w:p w14:paraId="2ED64BB7" w14:textId="77777777" w:rsidR="00F217DC" w:rsidRPr="00642E97" w:rsidRDefault="00F217DC" w:rsidP="00F217D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</w:pPr>
                        <w:r w:rsidRPr="00642E97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  <w:t>●</w:t>
                        </w:r>
                      </w:p>
                    </w:tc>
                    <w:tc>
                      <w:tcPr>
                        <w:tcW w:w="4672" w:type="pct"/>
                        <w:gridSpan w:val="2"/>
                      </w:tcPr>
                      <w:p w14:paraId="6E237189" w14:textId="6D062C82" w:rsidR="000E4705" w:rsidRPr="00642E97" w:rsidRDefault="002A79FA" w:rsidP="000E470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  <w:t>Par ailleurs, l</w:t>
                        </w:r>
                        <w:r w:rsidR="000836B8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  <w:t xml:space="preserve">a Ville souhaite 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  <w:t xml:space="preserve">également </w:t>
                        </w:r>
                        <w:r w:rsidR="000836B8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  <w:t>établir d</w:t>
                        </w:r>
                        <w:r w:rsidR="000836B8" w:rsidRPr="00147ACC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  <w:t xml:space="preserve">es démarches avec 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  <w:t>ses</w:t>
                        </w:r>
                        <w:r w:rsidRPr="00147ACC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  <w:t xml:space="preserve"> </w:t>
                        </w:r>
                        <w:r w:rsidR="000836B8" w:rsidRPr="00147ACC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  <w:t>partenaires de l’enseignement</w:t>
                        </w:r>
                        <w:r w:rsidR="000836B8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  <w:t xml:space="preserve"> supérieur, dont l’Université du Québec en Outaouais (</w:t>
                        </w:r>
                        <w:r w:rsidR="000836B8" w:rsidRPr="00147ACC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  <w:t>UQO</w:t>
                        </w:r>
                        <w:r w:rsidR="000836B8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  <w:t xml:space="preserve">), le 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  <w:t>Cégep</w:t>
                        </w:r>
                        <w:r w:rsidRPr="00147ACC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  <w:t xml:space="preserve"> </w:t>
                        </w:r>
                        <w:r w:rsidR="000836B8" w:rsidRPr="00147ACC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  <w:t>H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  <w:t>e</w:t>
                        </w:r>
                        <w:r w:rsidR="000836B8" w:rsidRPr="00147ACC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  <w:t>ritage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  <w:t xml:space="preserve"> College</w:t>
                        </w:r>
                        <w:r w:rsidR="000836B8" w:rsidRPr="00147ACC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  <w:t xml:space="preserve"> et </w:t>
                        </w:r>
                        <w:r w:rsidR="000836B8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  <w:t>le Cégep Outaouais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  <w:t>,</w:t>
                        </w:r>
                        <w:r w:rsidR="000836B8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  <w:t xml:space="preserve"> pour du développement professionnel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  <w:t>.</w:t>
                        </w:r>
                      </w:p>
                    </w:tc>
                  </w:tr>
                  <w:tr w:rsidR="000E4705" w:rsidRPr="00642E97" w14:paraId="65186262" w14:textId="77777777" w:rsidTr="000F6A4E">
                    <w:trPr>
                      <w:tblCellSpacing w:w="0" w:type="dxa"/>
                    </w:trPr>
                    <w:tc>
                      <w:tcPr>
                        <w:tcW w:w="328" w:type="pct"/>
                        <w:hideMark/>
                      </w:tcPr>
                      <w:p w14:paraId="31E1C9DF" w14:textId="77777777" w:rsidR="000E4705" w:rsidRPr="00642E97" w:rsidRDefault="000E4705" w:rsidP="000E470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</w:pPr>
                        <w:r w:rsidRPr="00642E97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  <w:t>●</w:t>
                        </w:r>
                      </w:p>
                    </w:tc>
                    <w:tc>
                      <w:tcPr>
                        <w:tcW w:w="4672" w:type="pct"/>
                        <w:gridSpan w:val="2"/>
                      </w:tcPr>
                      <w:p w14:paraId="648889B9" w14:textId="77777777" w:rsidR="000E4705" w:rsidRPr="00642E97" w:rsidRDefault="000E4705" w:rsidP="000E470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</w:pPr>
                        <w:r w:rsidRPr="000E470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  <w:t>Le Pôle en enseignement supérieur de l’Outaouais (PESO) vise à faciliter le développement et à mettre en œuvre des projets interinstitutionnels en enseignement supérieur de l'Outaouais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  <w:t>. L</w:t>
                        </w:r>
                        <w:r w:rsidRPr="000E470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  <w:t xml:space="preserve">es trois établissements partenaires 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  <w:t xml:space="preserve">sont </w:t>
                        </w:r>
                        <w:r w:rsidRPr="000E470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  <w:t>l’Université du Québec en Outaouais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  <w:t xml:space="preserve"> (UQO)</w:t>
                        </w:r>
                        <w:r w:rsidRPr="000E470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  <w:t xml:space="preserve">, le Cégep de l’Outaouais et le Cégep Heritage College.  </w:t>
                        </w:r>
                      </w:p>
                    </w:tc>
                  </w:tr>
                  <w:tr w:rsidR="000E4705" w:rsidRPr="00642E97" w14:paraId="0BB68AA2" w14:textId="77777777" w:rsidTr="000F6A4E">
                    <w:trPr>
                      <w:tblCellSpacing w:w="0" w:type="dxa"/>
                    </w:trPr>
                    <w:tc>
                      <w:tcPr>
                        <w:tcW w:w="328" w:type="pct"/>
                        <w:hideMark/>
                      </w:tcPr>
                      <w:p w14:paraId="0FBBD323" w14:textId="77777777" w:rsidR="000E4705" w:rsidRPr="00642E97" w:rsidRDefault="000E4705" w:rsidP="000E470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</w:pPr>
                        <w:r w:rsidRPr="00642E97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  <w:t>●</w:t>
                        </w:r>
                      </w:p>
                    </w:tc>
                    <w:tc>
                      <w:tcPr>
                        <w:tcW w:w="4672" w:type="pct"/>
                        <w:gridSpan w:val="2"/>
                      </w:tcPr>
                      <w:p w14:paraId="339F9226" w14:textId="6AD6E381" w:rsidR="000E4705" w:rsidRPr="00642E97" w:rsidRDefault="000E4705" w:rsidP="000F6A4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  <w:t>Le 21 mars dernier, le conseil municipal de la Ville de Gatineau endossait à l’unanimité l</w:t>
                        </w:r>
                        <w:r w:rsidRPr="000E470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  <w:t xml:space="preserve">a Déclaration des Nations Unies sur les droits des peuples autochtones (DNUDPA) 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  <w:t>pour</w:t>
                        </w:r>
                        <w:r w:rsidRPr="000E470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  <w:t xml:space="preserve"> guide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  <w:t>r</w:t>
                        </w:r>
                        <w:r w:rsidRPr="000E470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  <w:t xml:space="preserve"> la Ville dans ses relations avec les peuples autochtones.</w:t>
                        </w:r>
                      </w:p>
                    </w:tc>
                  </w:tr>
                  <w:tr w:rsidR="00301841" w14:paraId="6AF36782" w14:textId="77777777" w:rsidTr="000F6A4E">
                    <w:tblPrEx>
                      <w:tblCellSpacing w:w="0" w:type="nil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5"/>
                    </w:trPr>
                    <w:tc>
                      <w:tcPr>
                        <w:tcW w:w="5000" w:type="pct"/>
                        <w:gridSpan w:val="3"/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</w:tcPr>
                      <w:p w14:paraId="10EFF06A" w14:textId="77777777" w:rsidR="00301841" w:rsidRDefault="00301841" w:rsidP="0030184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</w:pPr>
                      </w:p>
                      <w:p w14:paraId="5FE6DF02" w14:textId="77777777" w:rsidR="00301841" w:rsidRPr="00301841" w:rsidRDefault="00301841" w:rsidP="0030184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1"/>
                            <w:szCs w:val="21"/>
                            <w:lang w:eastAsia="fr-CA"/>
                          </w:rPr>
                        </w:pPr>
                        <w:r w:rsidRPr="00301841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1"/>
                            <w:szCs w:val="21"/>
                            <w:lang w:eastAsia="fr-CA"/>
                          </w:rPr>
                          <w:t>Citation</w:t>
                        </w:r>
                        <w:r w:rsidR="00FF6BEC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1"/>
                            <w:szCs w:val="21"/>
                            <w:lang w:eastAsia="fr-CA"/>
                          </w:rPr>
                          <w:t>s</w:t>
                        </w:r>
                      </w:p>
                      <w:p w14:paraId="37063B06" w14:textId="77777777" w:rsidR="00301841" w:rsidRDefault="00301841" w:rsidP="0030184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</w:pPr>
                      </w:p>
                      <w:p w14:paraId="05133338" w14:textId="5FDB5E53" w:rsidR="00301841" w:rsidRDefault="00301841" w:rsidP="0030184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  <w:t xml:space="preserve">« Ce </w:t>
                        </w:r>
                        <w:r w:rsidR="00FF6BEC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  <w:t xml:space="preserve">nouveau poste viendra vraiment consolider nos efforts de collaboration avec </w:t>
                        </w:r>
                        <w:r w:rsidR="00FF6BEC" w:rsidRPr="00301841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  <w:t>la communauté de la Première Nation algonquine Anishinabeg de Kitigan Zibi</w:t>
                        </w:r>
                        <w:r w:rsidR="00FF6BEC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  <w:t xml:space="preserve">. Il </w:t>
                        </w:r>
                        <w:r w:rsidR="00FF6BEC" w:rsidRPr="00FF6BEC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  <w:t>favori</w:t>
                        </w:r>
                        <w:r w:rsidR="00FF6BEC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  <w:t>sera le transfert d’information</w:t>
                        </w:r>
                        <w:r w:rsidR="00FF6BEC" w:rsidRPr="00FF6BEC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  <w:t>, de connaissance et d’expertise</w:t>
                        </w:r>
                        <w:r w:rsidR="00FF6BEC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  <w:t xml:space="preserve"> et permettra à nos équipes d’être sensibilis</w:t>
                        </w:r>
                        <w:r w:rsidR="00907C90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  <w:t>ées</w:t>
                        </w:r>
                        <w:r w:rsidR="00FF6BEC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  <w:t xml:space="preserve"> à nos façons de développer cette relation, dans un esprit de réconciliation</w:t>
                        </w:r>
                        <w:r w:rsidR="00FF6BEC" w:rsidRPr="00FF6BEC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  <w:t>.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  <w:t xml:space="preserve"> </w:t>
                        </w:r>
                        <w:r w:rsidRPr="00041B8C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  <w:t>», a affirmé Mme France Bélisle, m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  <w:t>airesse de la Ville de Gatineau</w:t>
                        </w:r>
                        <w:r w:rsidR="002A79FA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  <w:t>.</w:t>
                        </w:r>
                      </w:p>
                      <w:p w14:paraId="667B9BC3" w14:textId="5A6E0512" w:rsidR="002A79FA" w:rsidRDefault="002A79FA" w:rsidP="0030184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</w:pPr>
                      </w:p>
                      <w:p w14:paraId="357AB7F4" w14:textId="20E27072" w:rsidR="002A79FA" w:rsidRDefault="000E4705" w:rsidP="0030184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  <w:t>« Ce</w:t>
                        </w:r>
                        <w:r w:rsidR="00C2570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  <w:t xml:space="preserve">tte 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  <w:t xml:space="preserve">collaboration </w:t>
                        </w:r>
                        <w:r w:rsidR="00907C90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  <w:t xml:space="preserve">de nos établissements d’enseignement supérieur 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  <w:t xml:space="preserve">avec </w:t>
                        </w:r>
                        <w:r w:rsidRPr="00301841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  <w:t>la communauté de la Première Nation algonquine Anishinabeg de Kitigan Zibi</w:t>
                        </w:r>
                        <w:r w:rsidR="00C2570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  <w:t xml:space="preserve"> </w:t>
                        </w:r>
                        <w:r w:rsidR="00907C90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  <w:t>renforce</w:t>
                        </w:r>
                        <w:r w:rsidR="00C2570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  <w:t>ra</w:t>
                        </w:r>
                        <w:r w:rsidR="00907C90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  <w:t xml:space="preserve"> nos liens</w:t>
                        </w:r>
                        <w:r w:rsidR="00C2570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  <w:t xml:space="preserve"> et</w:t>
                        </w:r>
                        <w:bookmarkStart w:id="0" w:name="_GoBack"/>
                        <w:bookmarkEnd w:id="0"/>
                        <w:r w:rsidR="00C25706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  <w:t xml:space="preserve"> favorisera le </w:t>
                        </w:r>
                        <w:r w:rsidR="00907C90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  <w:t>partage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  <w:t xml:space="preserve"> </w:t>
                        </w:r>
                        <w:r w:rsidR="00907C90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  <w:t xml:space="preserve">dans le but d’appuyer la réussite éducative des étudiantes et étudiants autochtones et </w:t>
                        </w:r>
                        <w:r w:rsidR="00974304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  <w:t>nos démarches d’</w:t>
                        </w:r>
                        <w:r w:rsidR="00907C90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  <w:t xml:space="preserve">autochtonisation </w:t>
                        </w:r>
                        <w:r w:rsidR="00974304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  <w:t>respectives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  <w:t xml:space="preserve">, dans un esprit de réconciliation </w:t>
                        </w:r>
                        <w:r w:rsidRPr="00041B8C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  <w:t xml:space="preserve">», 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  <w:t>souligne</w:t>
                        </w:r>
                        <w:r w:rsidR="00907C90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  <w:t>nt la rectrice de l’UQO, Murielle Laberge, le directeur général du Cégep de l’Outaouais, Steve Brabant, et le directeur général du Cégep Heritage College, Terry Khar</w:t>
                        </w:r>
                        <w:r w:rsidR="00974304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  <w:t>y</w:t>
                        </w:r>
                        <w:r w:rsidR="00907C90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  <w:t>ati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  <w:t>,</w:t>
                        </w:r>
                        <w:r w:rsidR="002A79FA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  <w:t xml:space="preserve"> partenaire</w:t>
                        </w:r>
                        <w:r w:rsidR="00907C90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  <w:t>s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  <w:t xml:space="preserve"> du </w:t>
                        </w:r>
                        <w:r w:rsidRPr="000E4705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  <w:t>Pôle en enseignement supérieur de l’Outaouais (PESO)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  <w:t>.</w:t>
                        </w:r>
                      </w:p>
                      <w:p w14:paraId="4CA09D3F" w14:textId="77777777" w:rsidR="00FF6BEC" w:rsidRDefault="00FF6BEC" w:rsidP="0030184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</w:pPr>
                      </w:p>
                      <w:p w14:paraId="48BD52AD" w14:textId="77777777" w:rsidR="00FF6BEC" w:rsidRPr="00041B8C" w:rsidRDefault="00FF6BEC" w:rsidP="0030184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fr-CA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</w:rPr>
                          <w:t xml:space="preserve">« La Nation algonquine Kitigan Zibi Anishinabeg travaille de près avec la Ville de Gatineau. Nous accueillons ce geste d’ouverture et l’appel à la consultation de notre communauté pour la création de ce poste. Toute initiative qui favorise le développement de bonnes relations </w:t>
                        </w:r>
                        <w:r w:rsidR="00995F53"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</w:rPr>
                          <w:t>place l</w:t>
                        </w:r>
                        <w:r w:rsidR="00995F53" w:rsidRPr="00995F53"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</w:rPr>
                          <w:t xml:space="preserve">es </w:t>
                        </w:r>
                        <w:r w:rsidR="00995F53"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</w:rPr>
                          <w:t xml:space="preserve">conditions gagnantes pour des </w:t>
                        </w:r>
                        <w:r w:rsidR="00995F53" w:rsidRPr="00995F53"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</w:rPr>
                          <w:t>partenariats</w:t>
                        </w:r>
                        <w:r w:rsidR="00995F53"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</w:rPr>
                          <w:t xml:space="preserve"> fructueux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  <w:shd w:val="clear" w:color="auto" w:fill="FFFFFF"/>
                          </w:rPr>
                          <w:t xml:space="preserve"> », souligne le Chef Dylan Whiteduck de la Nation Kitigan Zibi Anishinabeg.</w:t>
                        </w:r>
                      </w:p>
                      <w:p w14:paraId="22199A0E" w14:textId="77777777" w:rsidR="00301841" w:rsidRDefault="00301841" w:rsidP="00F2379E">
                        <w:pPr>
                          <w:rPr>
                            <w:b/>
                            <w:bCs/>
                            <w:lang w:eastAsia="fr-CA"/>
                          </w:rPr>
                        </w:pPr>
                      </w:p>
                      <w:p w14:paraId="4B37D171" w14:textId="77777777" w:rsidR="00301841" w:rsidRDefault="00301841" w:rsidP="00F2379E">
                        <w:pPr>
                          <w:rPr>
                            <w:b/>
                            <w:bCs/>
                            <w:lang w:eastAsia="fr-CA"/>
                          </w:rPr>
                        </w:pPr>
                      </w:p>
                      <w:p w14:paraId="376ACB65" w14:textId="77777777" w:rsidR="00301841" w:rsidRDefault="00301841" w:rsidP="00F2379E">
                        <w:pPr>
                          <w:rPr>
                            <w:b/>
                            <w:bCs/>
                            <w:lang w:eastAsia="fr-CA"/>
                          </w:rPr>
                        </w:pPr>
                      </w:p>
                      <w:p w14:paraId="1709B863" w14:textId="77777777" w:rsidR="00301841" w:rsidRDefault="00301841" w:rsidP="00F2379E">
                        <w:pPr>
                          <w:rPr>
                            <w:b/>
                            <w:bCs/>
                            <w:lang w:eastAsia="fr-CA"/>
                          </w:rPr>
                        </w:pPr>
                      </w:p>
                    </w:tc>
                  </w:tr>
                  <w:tr w:rsidR="00F2379E" w14:paraId="3859AB1A" w14:textId="77777777" w:rsidTr="000F6A4E">
                    <w:tblPrEx>
                      <w:tblCellSpacing w:w="0" w:type="nil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5"/>
                    </w:trPr>
                    <w:tc>
                      <w:tcPr>
                        <w:tcW w:w="2368" w:type="pct"/>
                        <w:gridSpan w:val="2"/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</w:tcPr>
                      <w:p w14:paraId="16D6D340" w14:textId="77777777" w:rsidR="00F2379E" w:rsidRDefault="00F2379E" w:rsidP="00F2379E">
                        <w:pPr>
                          <w:rPr>
                            <w:rFonts w:ascii="Calibri" w:hAnsi="Calibri" w:cs="Calibri"/>
                            <w:b/>
                            <w:bCs/>
                            <w:lang w:eastAsia="fr-CA"/>
                          </w:rPr>
                        </w:pPr>
                      </w:p>
                    </w:tc>
                    <w:tc>
                      <w:tcPr>
                        <w:tcW w:w="2632" w:type="pct"/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</w:tcPr>
                      <w:p w14:paraId="4A72FCD1" w14:textId="77777777" w:rsidR="00F2379E" w:rsidRDefault="00F2379E" w:rsidP="00F2379E">
                        <w:pPr>
                          <w:rPr>
                            <w:b/>
                            <w:bCs/>
                            <w:lang w:eastAsia="fr-CA"/>
                          </w:rPr>
                        </w:pPr>
                      </w:p>
                    </w:tc>
                  </w:tr>
                </w:tbl>
                <w:p w14:paraId="6305E1BB" w14:textId="77777777" w:rsidR="00F2379E" w:rsidRDefault="00F2379E" w:rsidP="00642E97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sz w:val="21"/>
                      <w:szCs w:val="21"/>
                      <w:lang w:eastAsia="fr-CA"/>
                    </w:rPr>
                  </w:pPr>
                </w:p>
                <w:p w14:paraId="73B1A23D" w14:textId="77777777" w:rsidR="00642E97" w:rsidRPr="00642E97" w:rsidRDefault="00642E97" w:rsidP="00642E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fr-CA"/>
                    </w:rPr>
                  </w:pPr>
                </w:p>
              </w:tc>
            </w:tr>
          </w:tbl>
          <w:p w14:paraId="14D5046E" w14:textId="77777777" w:rsidR="00642E97" w:rsidRPr="00642E97" w:rsidRDefault="00642E97" w:rsidP="00642E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</w:tr>
    </w:tbl>
    <w:p w14:paraId="684CD5AC" w14:textId="77777777" w:rsidR="0021756D" w:rsidRPr="00642E97" w:rsidRDefault="0021756D" w:rsidP="00301841"/>
    <w:sectPr w:rsidR="0021756D" w:rsidRPr="00642E9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8527C" w14:textId="77777777" w:rsidR="00A240E9" w:rsidRDefault="00A240E9" w:rsidP="006229DC">
      <w:pPr>
        <w:spacing w:after="0" w:line="240" w:lineRule="auto"/>
      </w:pPr>
      <w:r>
        <w:separator/>
      </w:r>
    </w:p>
  </w:endnote>
  <w:endnote w:type="continuationSeparator" w:id="0">
    <w:p w14:paraId="3D992F2C" w14:textId="77777777" w:rsidR="00A240E9" w:rsidRDefault="00A240E9" w:rsidP="00622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BF80A" w14:textId="77777777" w:rsidR="00A240E9" w:rsidRDefault="00A240E9" w:rsidP="006229DC">
      <w:pPr>
        <w:spacing w:after="0" w:line="240" w:lineRule="auto"/>
      </w:pPr>
      <w:r>
        <w:separator/>
      </w:r>
    </w:p>
  </w:footnote>
  <w:footnote w:type="continuationSeparator" w:id="0">
    <w:p w14:paraId="595671A0" w14:textId="77777777" w:rsidR="00A240E9" w:rsidRDefault="00A240E9" w:rsidP="00622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C2DD9"/>
    <w:multiLevelType w:val="hybridMultilevel"/>
    <w:tmpl w:val="659228D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8C8730">
      <w:start w:val="5"/>
      <w:numFmt w:val="bullet"/>
      <w:lvlText w:val="•"/>
      <w:lvlJc w:val="left"/>
      <w:pPr>
        <w:ind w:left="1080" w:firstLine="0"/>
      </w:pPr>
      <w:rPr>
        <w:rFonts w:ascii="Times New Roman" w:eastAsia="Times New Roman" w:hAnsi="Times New Roman" w:cs="Times New Roman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457D0"/>
    <w:multiLevelType w:val="hybridMultilevel"/>
    <w:tmpl w:val="3482C93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D98"/>
    <w:rsid w:val="00041B8C"/>
    <w:rsid w:val="00071D23"/>
    <w:rsid w:val="000836B8"/>
    <w:rsid w:val="000E4705"/>
    <w:rsid w:val="000F6A4E"/>
    <w:rsid w:val="00147ACC"/>
    <w:rsid w:val="0021756D"/>
    <w:rsid w:val="002A79FA"/>
    <w:rsid w:val="002D1EE0"/>
    <w:rsid w:val="002E71CD"/>
    <w:rsid w:val="002F1B11"/>
    <w:rsid w:val="003003E0"/>
    <w:rsid w:val="00301841"/>
    <w:rsid w:val="00383240"/>
    <w:rsid w:val="003A54FF"/>
    <w:rsid w:val="003E6B76"/>
    <w:rsid w:val="00402D70"/>
    <w:rsid w:val="004A50B1"/>
    <w:rsid w:val="005164A5"/>
    <w:rsid w:val="005D419C"/>
    <w:rsid w:val="00605FE9"/>
    <w:rsid w:val="006229DC"/>
    <w:rsid w:val="00642E97"/>
    <w:rsid w:val="0065486A"/>
    <w:rsid w:val="007909D7"/>
    <w:rsid w:val="008236A4"/>
    <w:rsid w:val="009031DB"/>
    <w:rsid w:val="00907C90"/>
    <w:rsid w:val="00941733"/>
    <w:rsid w:val="00947FFA"/>
    <w:rsid w:val="00974304"/>
    <w:rsid w:val="0098025B"/>
    <w:rsid w:val="00995F53"/>
    <w:rsid w:val="00A228FA"/>
    <w:rsid w:val="00A240E9"/>
    <w:rsid w:val="00B07C3B"/>
    <w:rsid w:val="00B175DB"/>
    <w:rsid w:val="00B21651"/>
    <w:rsid w:val="00BB2D98"/>
    <w:rsid w:val="00BD6506"/>
    <w:rsid w:val="00BF6055"/>
    <w:rsid w:val="00C25706"/>
    <w:rsid w:val="00CC3FFC"/>
    <w:rsid w:val="00D133EE"/>
    <w:rsid w:val="00E76AC4"/>
    <w:rsid w:val="00F217DC"/>
    <w:rsid w:val="00F2379E"/>
    <w:rsid w:val="00F27F78"/>
    <w:rsid w:val="00F840B5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DD5D6"/>
  <w15:chartTrackingRefBased/>
  <w15:docId w15:val="{0438FF41-AA62-4C44-893F-5E9C1D5FF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7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071D23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071D23"/>
  </w:style>
  <w:style w:type="paragraph" w:styleId="NormalWeb">
    <w:name w:val="Normal (Web)"/>
    <w:basedOn w:val="Normal"/>
    <w:uiPriority w:val="99"/>
    <w:semiHidden/>
    <w:unhideWhenUsed/>
    <w:rsid w:val="00642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ev">
    <w:name w:val="Strong"/>
    <w:basedOn w:val="Policepardfaut"/>
    <w:uiPriority w:val="22"/>
    <w:qFormat/>
    <w:rsid w:val="00642E97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756D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229D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29DC"/>
  </w:style>
  <w:style w:type="paragraph" w:styleId="Pieddepage">
    <w:name w:val="footer"/>
    <w:basedOn w:val="Normal"/>
    <w:link w:val="PieddepageCar"/>
    <w:uiPriority w:val="99"/>
    <w:unhideWhenUsed/>
    <w:rsid w:val="006229D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29DC"/>
  </w:style>
  <w:style w:type="paragraph" w:styleId="Rvision">
    <w:name w:val="Revision"/>
    <w:hidden/>
    <w:uiPriority w:val="99"/>
    <w:semiHidden/>
    <w:rsid w:val="009417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5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624</Words>
  <Characters>3330</Characters>
  <Application>Microsoft Office Word</Application>
  <DocSecurity>4</DocSecurity>
  <Lines>104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Gatineau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Feeny, Daniel</dc:creator>
  <cp:keywords/>
  <dc:description/>
  <cp:lastModifiedBy>Feeny, Daniel</cp:lastModifiedBy>
  <cp:revision>2</cp:revision>
  <cp:lastPrinted>2023-02-13T22:30:00Z</cp:lastPrinted>
  <dcterms:created xsi:type="dcterms:W3CDTF">2023-03-23T17:55:00Z</dcterms:created>
  <dcterms:modified xsi:type="dcterms:W3CDTF">2023-03-23T17:55:00Z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gnivaFacetPoste">
    <vt:lpwstr>Attaché politique - relation médias</vt:lpwstr>
  </property>
  <property fmtid="{D5CDD505-2E9C-101B-9397-08002B2CF9AE}" pid="3" name="CognivaFacetAuteur">
    <vt:lpwstr>GATINEAU\feenyd</vt:lpwstr>
  </property>
  <property fmtid="{D5CDD505-2E9C-101B-9397-08002B2CF9AE}" pid="4" name="CognivaFacetNumerodePosteRH">
    <vt:lpwstr>HS-CAD-019</vt:lpwstr>
  </property>
</Properties>
</file>